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方正小标宋简体" w:hAnsi="方正小标宋简体" w:eastAsia="方正小标宋简体" w:cs="方正小标宋简体"/>
          <w:b/>
          <w:color w:val="FF0000"/>
          <w:spacing w:val="20"/>
          <w:sz w:val="96"/>
          <w:szCs w:val="96"/>
        </w:rPr>
      </w:pPr>
      <w:r>
        <w:rPr>
          <w:rFonts w:hint="eastAsia" w:ascii="方正小标宋简体" w:hAnsi="方正小标宋简体" w:eastAsia="方正小标宋简体" w:cs="方正小标宋简体"/>
          <w:b/>
          <w:color w:val="FF0000"/>
          <w:spacing w:val="20"/>
          <w:sz w:val="96"/>
          <w:szCs w:val="96"/>
          <w:lang w:eastAsia="zh-CN"/>
        </w:rPr>
        <w:t>教职工政治</w:t>
      </w:r>
      <w:r>
        <w:rPr>
          <w:rFonts w:hint="eastAsia" w:ascii="方正小标宋简体" w:hAnsi="方正小标宋简体" w:eastAsia="方正小标宋简体" w:cs="方正小标宋简体"/>
          <w:b/>
          <w:color w:val="FF0000"/>
          <w:spacing w:val="20"/>
          <w:sz w:val="96"/>
          <w:szCs w:val="96"/>
        </w:rPr>
        <w:t>学习</w:t>
      </w:r>
    </w:p>
    <w:p>
      <w:pPr>
        <w:spacing w:before="156" w:beforeLines="50"/>
        <w:jc w:val="center"/>
        <w:rPr>
          <w:rFonts w:ascii="方正小标宋简体" w:hAnsi="方正小标宋简体" w:eastAsia="方正小标宋简体" w:cs="方正小标宋简体"/>
          <w:b/>
          <w:color w:val="FF0000"/>
          <w:sz w:val="96"/>
          <w:szCs w:val="96"/>
        </w:rPr>
      </w:pPr>
      <w:r>
        <w:rPr>
          <w:rFonts w:hint="eastAsia" w:ascii="方正小标宋简体" w:hAnsi="方正小标宋简体" w:eastAsia="方正小标宋简体" w:cs="方正小标宋简体"/>
          <w:b/>
          <w:color w:val="FF0000"/>
          <w:sz w:val="96"/>
          <w:szCs w:val="96"/>
        </w:rPr>
        <w:t>参</w:t>
      </w:r>
      <w:r>
        <w:rPr>
          <w:rFonts w:hint="eastAsia" w:ascii="方正小标宋简体" w:hAnsi="方正小标宋简体" w:eastAsia="方正小标宋简体" w:cs="方正小标宋简体"/>
          <w:b/>
          <w:color w:val="FF0000"/>
          <w:sz w:val="96"/>
          <w:szCs w:val="96"/>
          <w:lang w:val="en-US" w:eastAsia="zh-CN"/>
        </w:rPr>
        <w:t xml:space="preserve"> </w:t>
      </w:r>
      <w:r>
        <w:rPr>
          <w:rFonts w:hint="eastAsia" w:ascii="方正小标宋简体" w:hAnsi="方正小标宋简体" w:eastAsia="方正小标宋简体" w:cs="方正小标宋简体"/>
          <w:b/>
          <w:color w:val="FF0000"/>
          <w:sz w:val="96"/>
          <w:szCs w:val="96"/>
        </w:rPr>
        <w:t>考</w:t>
      </w:r>
      <w:r>
        <w:rPr>
          <w:rFonts w:hint="eastAsia" w:ascii="方正小标宋简体" w:hAnsi="方正小标宋简体" w:eastAsia="方正小标宋简体" w:cs="方正小标宋简体"/>
          <w:b/>
          <w:color w:val="FF0000"/>
          <w:sz w:val="96"/>
          <w:szCs w:val="96"/>
          <w:lang w:val="en-US" w:eastAsia="zh-CN"/>
        </w:rPr>
        <w:t xml:space="preserve"> </w:t>
      </w:r>
      <w:r>
        <w:rPr>
          <w:rFonts w:hint="eastAsia" w:ascii="方正小标宋简体" w:hAnsi="方正小标宋简体" w:eastAsia="方正小标宋简体" w:cs="方正小标宋简体"/>
          <w:b/>
          <w:color w:val="FF0000"/>
          <w:sz w:val="96"/>
          <w:szCs w:val="96"/>
        </w:rPr>
        <w:t>资</w:t>
      </w:r>
      <w:r>
        <w:rPr>
          <w:rFonts w:hint="eastAsia" w:ascii="方正小标宋简体" w:hAnsi="方正小标宋简体" w:eastAsia="方正小标宋简体" w:cs="方正小标宋简体"/>
          <w:b/>
          <w:color w:val="FF0000"/>
          <w:sz w:val="96"/>
          <w:szCs w:val="96"/>
          <w:lang w:val="en-US" w:eastAsia="zh-CN"/>
        </w:rPr>
        <w:t xml:space="preserve"> </w:t>
      </w:r>
      <w:r>
        <w:rPr>
          <w:rFonts w:hint="eastAsia" w:ascii="方正小标宋简体" w:hAnsi="方正小标宋简体" w:eastAsia="方正小标宋简体" w:cs="方正小标宋简体"/>
          <w:b/>
          <w:color w:val="FF0000"/>
          <w:sz w:val="96"/>
          <w:szCs w:val="96"/>
        </w:rPr>
        <w:t>料</w:t>
      </w:r>
    </w:p>
    <w:p>
      <w:pPr>
        <w:spacing w:before="156" w:beforeLines="50"/>
        <w:jc w:val="center"/>
        <w:rPr>
          <w:rFonts w:hint="default" w:ascii="仿宋_GB2312" w:hAnsi="宋体" w:eastAsia="仿宋_GB2312" w:cs="Times New Roman"/>
          <w:b/>
          <w:sz w:val="32"/>
          <w:szCs w:val="32"/>
          <w:lang w:val="en-US" w:eastAsia="zh-CN"/>
        </w:rPr>
      </w:pPr>
      <w:r>
        <w:rPr>
          <w:rFonts w:hint="eastAsia" w:ascii="仿宋_GB2312" w:hAnsi="宋体" w:eastAsia="仿宋_GB2312" w:cs="Times New Roman"/>
          <w:b/>
          <w:sz w:val="32"/>
          <w:szCs w:val="32"/>
          <w:lang w:val="en-US" w:eastAsia="zh-CN"/>
        </w:rPr>
        <w:t>第4期</w:t>
      </w:r>
    </w:p>
    <w:p>
      <w:pPr>
        <w:spacing w:line="240" w:lineRule="atLeast"/>
        <w:rPr>
          <w:rFonts w:ascii="华文仿宋" w:hAnsi="华文仿宋" w:eastAsia="华文仿宋" w:cs="Times New Roman"/>
          <w:b/>
          <w:sz w:val="28"/>
          <w:szCs w:val="28"/>
        </w:rPr>
      </w:pPr>
      <w:r>
        <w:rPr>
          <w:rFonts w:hint="eastAsia" w:ascii="华文仿宋" w:hAnsi="华文仿宋" w:eastAsia="华文仿宋" w:cs="Times New Roman"/>
          <w:b/>
          <w:sz w:val="28"/>
          <w:szCs w:val="28"/>
        </w:rPr>
        <mc:AlternateContent>
          <mc:Choice Requires="wps">
            <w:drawing>
              <wp:anchor distT="0" distB="0" distL="0" distR="0" simplePos="0" relativeHeight="251659264" behindDoc="1" locked="0" layoutInCell="1" allowOverlap="1">
                <wp:simplePos x="0" y="0"/>
                <wp:positionH relativeFrom="column">
                  <wp:posOffset>-228600</wp:posOffset>
                </wp:positionH>
                <wp:positionV relativeFrom="paragraph">
                  <wp:posOffset>0</wp:posOffset>
                </wp:positionV>
                <wp:extent cx="6057900" cy="544830"/>
                <wp:effectExtent l="5080" t="4445" r="13970" b="22225"/>
                <wp:wrapNone/>
                <wp:docPr id="1026" name="文本框 3"/>
                <wp:cNvGraphicFramePr/>
                <a:graphic xmlns:a="http://schemas.openxmlformats.org/drawingml/2006/main">
                  <a:graphicData uri="http://schemas.microsoft.com/office/word/2010/wordprocessingShape">
                    <wps:wsp>
                      <wps:cNvSpPr/>
                      <wps:spPr>
                        <a:xfrm>
                          <a:off x="0" y="0"/>
                          <a:ext cx="6057900" cy="54483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spacing w:before="156" w:beforeLines="50" w:line="240" w:lineRule="atLeast"/>
                              <w:ind w:firstLine="157" w:firstLineChars="49"/>
                              <w:rPr>
                                <w:rFonts w:ascii="Calibri" w:hAnsi="Calibri" w:eastAsia="宋体" w:cs="Times New Roman"/>
                              </w:rPr>
                            </w:pPr>
                            <w:r>
                              <w:rPr>
                                <w:rFonts w:hint="eastAsia" w:ascii="仿宋_GB2312" w:hAnsi="宋体" w:eastAsia="仿宋_GB2312" w:cs="Times New Roman"/>
                                <w:b/>
                                <w:color w:val="000000"/>
                                <w:sz w:val="32"/>
                                <w:szCs w:val="32"/>
                                <w:lang w:eastAsia="zh-CN"/>
                              </w:rPr>
                              <w:t>内江师范学院</w:t>
                            </w:r>
                            <w:r>
                              <w:rPr>
                                <w:rFonts w:hint="eastAsia" w:ascii="仿宋_GB2312" w:hAnsi="宋体" w:eastAsia="仿宋_GB2312" w:cs="Times New Roman"/>
                                <w:b/>
                                <w:color w:val="000000"/>
                                <w:sz w:val="32"/>
                                <w:szCs w:val="32"/>
                              </w:rPr>
                              <w:t>党委宣传部编</w:t>
                            </w:r>
                            <w:r>
                              <w:rPr>
                                <w:rFonts w:hint="eastAsia" w:ascii="宋体" w:hAnsi="宋体" w:eastAsia="宋体" w:cs="Times New Roman"/>
                                <w:b/>
                                <w:color w:val="000000"/>
                                <w:sz w:val="28"/>
                                <w:szCs w:val="28"/>
                              </w:rPr>
                              <w:t xml:space="preserve">                 </w:t>
                            </w:r>
                            <w:r>
                              <w:rPr>
                                <w:rFonts w:ascii="仿宋_GB2312" w:hAnsi="宋体" w:eastAsia="仿宋_GB2312" w:cs="Times New Roman"/>
                                <w:b/>
                                <w:color w:val="000000"/>
                                <w:sz w:val="32"/>
                                <w:szCs w:val="32"/>
                              </w:rPr>
                              <w:t>20</w:t>
                            </w:r>
                            <w:r>
                              <w:rPr>
                                <w:rFonts w:hint="eastAsia" w:ascii="仿宋_GB2312" w:hAnsi="宋体" w:eastAsia="仿宋_GB2312" w:cs="Times New Roman"/>
                                <w:b/>
                                <w:color w:val="000000"/>
                                <w:sz w:val="32"/>
                                <w:szCs w:val="32"/>
                              </w:rPr>
                              <w:t>2</w:t>
                            </w:r>
                            <w:r>
                              <w:rPr>
                                <w:rFonts w:hint="eastAsia" w:ascii="仿宋_GB2312" w:hAnsi="宋体" w:eastAsia="仿宋_GB2312" w:cs="Times New Roman"/>
                                <w:b/>
                                <w:color w:val="000000"/>
                                <w:sz w:val="32"/>
                                <w:szCs w:val="32"/>
                                <w:lang w:val="en-US" w:eastAsia="zh-CN"/>
                              </w:rPr>
                              <w:t>3</w:t>
                            </w:r>
                            <w:r>
                              <w:rPr>
                                <w:rFonts w:ascii="仿宋_GB2312" w:hAnsi="宋体" w:eastAsia="仿宋_GB2312" w:cs="Times New Roman"/>
                                <w:b/>
                                <w:color w:val="000000"/>
                                <w:sz w:val="32"/>
                                <w:szCs w:val="32"/>
                              </w:rPr>
                              <w:t>年</w:t>
                            </w:r>
                            <w:r>
                              <w:rPr>
                                <w:rFonts w:hint="eastAsia" w:ascii="仿宋_GB2312" w:hAnsi="宋体" w:eastAsia="仿宋_GB2312" w:cs="Times New Roman"/>
                                <w:b/>
                                <w:color w:val="000000"/>
                                <w:sz w:val="32"/>
                                <w:szCs w:val="32"/>
                                <w:lang w:val="en-US" w:eastAsia="zh-CN"/>
                              </w:rPr>
                              <w:t>4</w:t>
                            </w:r>
                            <w:r>
                              <w:rPr>
                                <w:rFonts w:hint="eastAsia" w:ascii="仿宋_GB2312" w:hAnsi="宋体" w:eastAsia="仿宋_GB2312" w:cs="Times New Roman"/>
                                <w:b/>
                                <w:color w:val="000000"/>
                                <w:sz w:val="32"/>
                                <w:szCs w:val="32"/>
                              </w:rPr>
                              <w:t>月</w:t>
                            </w:r>
                            <w:r>
                              <w:rPr>
                                <w:rFonts w:hint="eastAsia" w:ascii="仿宋_GB2312" w:hAnsi="宋体" w:eastAsia="仿宋_GB2312" w:cs="Times New Roman"/>
                                <w:b/>
                                <w:color w:val="000000"/>
                                <w:sz w:val="32"/>
                                <w:szCs w:val="32"/>
                                <w:lang w:val="en-US" w:eastAsia="zh-CN"/>
                              </w:rPr>
                              <w:t>10</w:t>
                            </w:r>
                            <w:r>
                              <w:rPr>
                                <w:rFonts w:hint="eastAsia" w:ascii="仿宋_GB2312" w:hAnsi="宋体" w:eastAsia="仿宋_GB2312" w:cs="Times New Roman"/>
                                <w:b/>
                                <w:color w:val="000000"/>
                                <w:sz w:val="32"/>
                                <w:szCs w:val="32"/>
                              </w:rPr>
                              <w:t>日</w:t>
                            </w:r>
                          </w:p>
                        </w:txbxContent>
                      </wps:txbx>
                      <wps:bodyPr upright="1"/>
                    </wps:wsp>
                  </a:graphicData>
                </a:graphic>
              </wp:anchor>
            </w:drawing>
          </mc:Choice>
          <mc:Fallback>
            <w:pict>
              <v:rect id="文本框 3" o:spid="_x0000_s1026" o:spt="1" style="position:absolute;left:0pt;margin-left:-18pt;margin-top:0pt;height:42.9pt;width:477pt;z-index:-251657216;mso-width-relative:page;mso-height-relative:page;" fillcolor="#FFFFFF" filled="t" stroked="t" coordsize="21600,21600" o:gfxdata="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laUF0wAAAAcBAAAPAAAAAAAAAAEA&#10;IAAAACIAAABkcnMvZG93bnJldi54bWxQSwECFAAUAAAACACHTuJAXmoSMRQCAABMBAAADgAAAAAA&#10;AAABACAAAAAiAQAAZHJzL2Uyb0RvYy54bWxQSwUGAAAAAAYABgBZAQAAqAUAAAAA&#10;">
                <v:fill on="t" opacity="0f" focussize="0,0"/>
                <v:stroke color="#FFFFFF" joinstyle="miter"/>
                <v:imagedata o:title=""/>
                <o:lock v:ext="edit" aspectratio="f"/>
                <v:textbox>
                  <w:txbxContent>
                    <w:p>
                      <w:pPr>
                        <w:spacing w:before="156" w:beforeLines="50" w:line="240" w:lineRule="atLeast"/>
                        <w:ind w:firstLine="157" w:firstLineChars="49"/>
                        <w:rPr>
                          <w:rFonts w:ascii="Calibri" w:hAnsi="Calibri" w:eastAsia="宋体" w:cs="Times New Roman"/>
                        </w:rPr>
                      </w:pPr>
                      <w:r>
                        <w:rPr>
                          <w:rFonts w:hint="eastAsia" w:ascii="仿宋_GB2312" w:hAnsi="宋体" w:eastAsia="仿宋_GB2312" w:cs="Times New Roman"/>
                          <w:b/>
                          <w:color w:val="000000"/>
                          <w:sz w:val="32"/>
                          <w:szCs w:val="32"/>
                          <w:lang w:eastAsia="zh-CN"/>
                        </w:rPr>
                        <w:t>内江师范学院</w:t>
                      </w:r>
                      <w:r>
                        <w:rPr>
                          <w:rFonts w:hint="eastAsia" w:ascii="仿宋_GB2312" w:hAnsi="宋体" w:eastAsia="仿宋_GB2312" w:cs="Times New Roman"/>
                          <w:b/>
                          <w:color w:val="000000"/>
                          <w:sz w:val="32"/>
                          <w:szCs w:val="32"/>
                        </w:rPr>
                        <w:t>党委宣传部编</w:t>
                      </w:r>
                      <w:r>
                        <w:rPr>
                          <w:rFonts w:hint="eastAsia" w:ascii="宋体" w:hAnsi="宋体" w:eastAsia="宋体" w:cs="Times New Roman"/>
                          <w:b/>
                          <w:color w:val="000000"/>
                          <w:sz w:val="28"/>
                          <w:szCs w:val="28"/>
                        </w:rPr>
                        <w:t xml:space="preserve">                 </w:t>
                      </w:r>
                      <w:r>
                        <w:rPr>
                          <w:rFonts w:ascii="仿宋_GB2312" w:hAnsi="宋体" w:eastAsia="仿宋_GB2312" w:cs="Times New Roman"/>
                          <w:b/>
                          <w:color w:val="000000"/>
                          <w:sz w:val="32"/>
                          <w:szCs w:val="32"/>
                        </w:rPr>
                        <w:t>20</w:t>
                      </w:r>
                      <w:r>
                        <w:rPr>
                          <w:rFonts w:hint="eastAsia" w:ascii="仿宋_GB2312" w:hAnsi="宋体" w:eastAsia="仿宋_GB2312" w:cs="Times New Roman"/>
                          <w:b/>
                          <w:color w:val="000000"/>
                          <w:sz w:val="32"/>
                          <w:szCs w:val="32"/>
                        </w:rPr>
                        <w:t>2</w:t>
                      </w:r>
                      <w:r>
                        <w:rPr>
                          <w:rFonts w:hint="eastAsia" w:ascii="仿宋_GB2312" w:hAnsi="宋体" w:eastAsia="仿宋_GB2312" w:cs="Times New Roman"/>
                          <w:b/>
                          <w:color w:val="000000"/>
                          <w:sz w:val="32"/>
                          <w:szCs w:val="32"/>
                          <w:lang w:val="en-US" w:eastAsia="zh-CN"/>
                        </w:rPr>
                        <w:t>3</w:t>
                      </w:r>
                      <w:r>
                        <w:rPr>
                          <w:rFonts w:ascii="仿宋_GB2312" w:hAnsi="宋体" w:eastAsia="仿宋_GB2312" w:cs="Times New Roman"/>
                          <w:b/>
                          <w:color w:val="000000"/>
                          <w:sz w:val="32"/>
                          <w:szCs w:val="32"/>
                        </w:rPr>
                        <w:t>年</w:t>
                      </w:r>
                      <w:r>
                        <w:rPr>
                          <w:rFonts w:hint="eastAsia" w:ascii="仿宋_GB2312" w:hAnsi="宋体" w:eastAsia="仿宋_GB2312" w:cs="Times New Roman"/>
                          <w:b/>
                          <w:color w:val="000000"/>
                          <w:sz w:val="32"/>
                          <w:szCs w:val="32"/>
                          <w:lang w:val="en-US" w:eastAsia="zh-CN"/>
                        </w:rPr>
                        <w:t>4</w:t>
                      </w:r>
                      <w:r>
                        <w:rPr>
                          <w:rFonts w:hint="eastAsia" w:ascii="仿宋_GB2312" w:hAnsi="宋体" w:eastAsia="仿宋_GB2312" w:cs="Times New Roman"/>
                          <w:b/>
                          <w:color w:val="000000"/>
                          <w:sz w:val="32"/>
                          <w:szCs w:val="32"/>
                        </w:rPr>
                        <w:t>月</w:t>
                      </w:r>
                      <w:r>
                        <w:rPr>
                          <w:rFonts w:hint="eastAsia" w:ascii="仿宋_GB2312" w:hAnsi="宋体" w:eastAsia="仿宋_GB2312" w:cs="Times New Roman"/>
                          <w:b/>
                          <w:color w:val="000000"/>
                          <w:sz w:val="32"/>
                          <w:szCs w:val="32"/>
                          <w:lang w:val="en-US" w:eastAsia="zh-CN"/>
                        </w:rPr>
                        <w:t>10</w:t>
                      </w:r>
                      <w:r>
                        <w:rPr>
                          <w:rFonts w:hint="eastAsia" w:ascii="仿宋_GB2312" w:hAnsi="宋体" w:eastAsia="仿宋_GB2312" w:cs="Times New Roman"/>
                          <w:b/>
                          <w:color w:val="000000"/>
                          <w:sz w:val="32"/>
                          <w:szCs w:val="32"/>
                        </w:rPr>
                        <w:t>日</w:t>
                      </w:r>
                    </w:p>
                  </w:txbxContent>
                </v:textbox>
              </v:rect>
            </w:pict>
          </mc:Fallback>
        </mc:AlternateContent>
      </w:r>
      <w:r>
        <w:rPr>
          <w:rFonts w:hint="eastAsia" w:ascii="宋体" w:hAnsi="宋体" w:eastAsia="宋体" w:cs="Times New Roman"/>
          <w:b/>
          <w:sz w:val="28"/>
          <w:szCs w:val="28"/>
        </w:rPr>
        <mc:AlternateContent>
          <mc:Choice Requires="wps">
            <w:drawing>
              <wp:anchor distT="0" distB="0" distL="0" distR="0" simplePos="0" relativeHeight="251659264" behindDoc="0" locked="0" layoutInCell="1" allowOverlap="1">
                <wp:simplePos x="0" y="0"/>
                <wp:positionH relativeFrom="column">
                  <wp:posOffset>-92710</wp:posOffset>
                </wp:positionH>
                <wp:positionV relativeFrom="paragraph">
                  <wp:posOffset>99060</wp:posOffset>
                </wp:positionV>
                <wp:extent cx="5805170" cy="0"/>
                <wp:effectExtent l="0" t="9525" r="5080" b="9525"/>
                <wp:wrapNone/>
                <wp:docPr id="1027" name="直接连接符 4"/>
                <wp:cNvGraphicFramePr/>
                <a:graphic xmlns:a="http://schemas.openxmlformats.org/drawingml/2006/main">
                  <a:graphicData uri="http://schemas.microsoft.com/office/word/2010/wordprocessingShape">
                    <wps:wsp>
                      <wps:cNvCnPr/>
                      <wps:spPr>
                        <a:xfrm>
                          <a:off x="0" y="0"/>
                          <a:ext cx="5805170" cy="0"/>
                        </a:xfrm>
                        <a:prstGeom prst="line">
                          <a:avLst/>
                        </a:prstGeom>
                        <a:ln w="19050" cap="flat" cmpd="sng">
                          <a:solidFill>
                            <a:srgbClr val="FFFFFF"/>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7.3pt;margin-top:7.8pt;height:0pt;width:457.1pt;z-index:251659264;mso-width-relative:page;mso-height-relative:page;" filled="f" stroked="t" coordsize="21600,21600" o:gfxdata="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5LZRLXAAAACQEAAA8AAAAAAAAAAQAgAAAAIgAAAGRycy9kb3ducmV2LnhtbFBLAQIU&#10;ABQAAAAIAIdO4kDDgsAv9AEAAOYDAAAOAAAAAAAAAAEAIAAAACYBAABkcnMvZTJvRG9jLnhtbFBL&#10;BQYAAAAABgAGAFkBAACMBQAAAAA=&#10;">
                <v:fill on="f" focussize="0,0"/>
                <v:stroke weight="1.5pt" color="#FFFFFF" joinstyle="round"/>
                <v:imagedata o:title=""/>
                <o:lock v:ext="edit" aspectratio="f"/>
              </v:line>
            </w:pict>
          </mc:Fallback>
        </mc:AlternateContent>
      </w:r>
      <w:bookmarkStart w:id="0" w:name="_Toc27463"/>
      <w:bookmarkStart w:id="1" w:name="_Toc28141"/>
      <w:bookmarkStart w:id="2" w:name="_Toc31568"/>
      <w:bookmarkStart w:id="3" w:name="_Toc14317"/>
    </w:p>
    <w:p>
      <w:pPr>
        <w:spacing w:line="240" w:lineRule="atLeast"/>
        <w:rPr>
          <w:rFonts w:ascii="仿宋_GB2312" w:hAnsi="Cambria" w:eastAsia="仿宋_GB2312" w:cs="Times New Roman"/>
          <w:b/>
          <w:kern w:val="0"/>
          <w:sz w:val="36"/>
          <w:szCs w:val="36"/>
          <w:lang w:val="zh-CN"/>
        </w:rPr>
      </w:pPr>
      <w:r>
        <w:rPr>
          <w:rFonts w:ascii="Calibri" w:hAnsi="Calibri" w:eastAsia="宋体" w:cs="Times New Roman"/>
          <w:sz w:val="36"/>
        </w:rPr>
        <mc:AlternateContent>
          <mc:Choice Requires="wps">
            <w:drawing>
              <wp:anchor distT="0" distB="0" distL="0" distR="0" simplePos="0" relativeHeight="251659264" behindDoc="0" locked="0" layoutInCell="1" allowOverlap="1">
                <wp:simplePos x="0" y="0"/>
                <wp:positionH relativeFrom="column">
                  <wp:posOffset>-93345</wp:posOffset>
                </wp:positionH>
                <wp:positionV relativeFrom="paragraph">
                  <wp:posOffset>57785</wp:posOffset>
                </wp:positionV>
                <wp:extent cx="5819775" cy="9525"/>
                <wp:effectExtent l="0" t="0" r="0" b="0"/>
                <wp:wrapNone/>
                <wp:docPr id="1028" name="直接连接符 2"/>
                <wp:cNvGraphicFramePr/>
                <a:graphic xmlns:a="http://schemas.openxmlformats.org/drawingml/2006/main">
                  <a:graphicData uri="http://schemas.microsoft.com/office/word/2010/wordprocessingShape">
                    <wps:wsp>
                      <wps:cNvCnPr/>
                      <wps:spPr>
                        <a:xfrm flipV="1">
                          <a:off x="0" y="0"/>
                          <a:ext cx="5819775" cy="9525"/>
                        </a:xfrm>
                        <a:prstGeom prst="line">
                          <a:avLst/>
                        </a:prstGeom>
                        <a:ln w="9525" cap="flat" cmpd="sng">
                          <a:solidFill>
                            <a:srgbClr val="FF0000"/>
                          </a:solidFill>
                          <a:prstDash val="solid"/>
                          <a:round/>
                          <a:headEnd type="none" w="med" len="med"/>
                          <a:tailEnd type="none" w="med" len="med"/>
                        </a:ln>
                      </wps:spPr>
                      <wps:bodyPr/>
                    </wps:wsp>
                  </a:graphicData>
                </a:graphic>
              </wp:anchor>
            </w:drawing>
          </mc:Choice>
          <mc:Fallback>
            <w:pict>
              <v:line id="直接连接符 2" o:spid="_x0000_s1026" o:spt="20" style="position:absolute;left:0pt;flip:y;margin-left:-7.35pt;margin-top:4.55pt;height:0.75pt;width:458.25pt;z-index:251659264;mso-width-relative:page;mso-height-relative:page;" filled="f" stroked="t" coordsize="21600,21600" o:gfxdata="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vMvH1wAAAAgBAAAPAAAAAAAAAAEAIAAAACIAAABkcnMvZG93bnJldi54&#10;bWxQSwECFAAUAAAACACHTuJAx5CxY/sBAADyAwAADgAAAAAAAAABACAAAAAmAQAAZHJzL2Uyb0Rv&#10;Yy54bWxQSwUGAAAAAAYABgBZAQAAkwUAAAAA&#10;">
                <v:fill on="f" focussize="0,0"/>
                <v:stroke color="#FF0000" joinstyle="round"/>
                <v:imagedata o:title=""/>
                <o:lock v:ext="edit" aspectratio="f"/>
              </v:line>
            </w:pict>
          </mc:Fallback>
        </mc:AlternateContent>
      </w:r>
    </w:p>
    <w:p>
      <w:pPr>
        <w:spacing w:line="240" w:lineRule="atLeast"/>
        <w:rPr>
          <w:rFonts w:ascii="仿宋_GB2312" w:hAnsi="Cambria" w:eastAsia="仿宋_GB2312" w:cs="Times New Roman"/>
          <w:b/>
          <w:kern w:val="0"/>
          <w:sz w:val="36"/>
          <w:szCs w:val="36"/>
          <w:lang w:val="zh-CN"/>
        </w:rPr>
      </w:pPr>
    </w:p>
    <w:p>
      <w:pPr>
        <w:spacing w:line="240" w:lineRule="atLeast"/>
        <w:rPr>
          <w:rFonts w:ascii="仿宋_GB2312" w:hAnsi="Cambria" w:eastAsia="仿宋_GB2312" w:cs="Times New Roman"/>
          <w:b/>
          <w:kern w:val="0"/>
          <w:sz w:val="36"/>
          <w:szCs w:val="36"/>
          <w:lang w:val="zh-CN"/>
        </w:rPr>
      </w:pPr>
      <w:bookmarkStart w:id="4" w:name="_GoBack"/>
      <w:bookmarkEnd w:id="4"/>
    </w:p>
    <w:p>
      <w:pPr>
        <w:spacing w:line="240" w:lineRule="atLeast"/>
        <w:rPr>
          <w:rFonts w:ascii="华文仿宋" w:hAnsi="华文仿宋" w:eastAsia="华文仿宋" w:cs="Times New Roman"/>
          <w:b/>
          <w:sz w:val="36"/>
          <w:szCs w:val="36"/>
        </w:rPr>
      </w:pPr>
      <w:r>
        <w:rPr>
          <w:rFonts w:hint="eastAsia" w:ascii="仿宋_GB2312" w:hAnsi="Cambria" w:eastAsia="仿宋_GB2312" w:cs="Times New Roman"/>
          <w:b/>
          <w:kern w:val="0"/>
          <w:sz w:val="36"/>
          <w:szCs w:val="36"/>
          <w:lang w:val="zh-CN"/>
        </w:rPr>
        <w:t>本期要目</w:t>
      </w:r>
      <w:bookmarkEnd w:id="0"/>
      <w:bookmarkEnd w:id="1"/>
      <w:bookmarkEnd w:id="2"/>
      <w:bookmarkEnd w:id="3"/>
    </w:p>
    <w:p>
      <w:pPr>
        <w:spacing w:line="360" w:lineRule="auto"/>
        <w:rPr>
          <w:rFonts w:ascii="仿宋_GB2312" w:hAnsi="Calibri" w:eastAsia="仿宋_GB2312" w:cs="Times New Roman"/>
          <w:b/>
          <w:bCs/>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780" w:lineRule="atLeast"/>
        <w:ind w:left="0" w:right="0" w:firstLine="0"/>
        <w:jc w:val="left"/>
        <w:rPr>
          <w:rFonts w:hint="eastAsia" w:ascii="仿宋" w:hAnsi="仿宋" w:eastAsia="仿宋" w:cs="仿宋"/>
          <w:b w:val="0"/>
          <w:bCs/>
          <w:snapToGrid w:val="0"/>
          <w:spacing w:val="-8"/>
          <w:kern w:val="2"/>
          <w:sz w:val="32"/>
          <w:szCs w:val="32"/>
          <w:lang w:val="en-US" w:eastAsia="zh-CN" w:bidi="ar-SA"/>
        </w:rPr>
      </w:pPr>
      <w:r>
        <w:rPr>
          <w:rFonts w:hint="eastAsia" w:ascii="仿宋" w:hAnsi="仿宋" w:eastAsia="仿宋" w:cs="仿宋"/>
          <w:b w:val="0"/>
          <w:bCs/>
          <w:snapToGrid w:val="0"/>
          <w:spacing w:val="-8"/>
          <w:kern w:val="2"/>
          <w:sz w:val="36"/>
          <w:szCs w:val="36"/>
          <w:lang w:val="en-US" w:eastAsia="zh-CN" w:bidi="ar-SA"/>
        </w:rPr>
        <w:t>◆人民日报评论员：</w:t>
      </w:r>
      <w:r>
        <w:rPr>
          <w:rFonts w:hint="eastAsia" w:ascii="仿宋" w:hAnsi="仿宋" w:eastAsia="仿宋" w:cs="仿宋"/>
          <w:b w:val="0"/>
          <w:bCs/>
          <w:snapToGrid w:val="0"/>
          <w:spacing w:val="-8"/>
          <w:kern w:val="2"/>
          <w:sz w:val="32"/>
          <w:szCs w:val="32"/>
          <w:lang w:val="en-US" w:eastAsia="zh-CN" w:bidi="ar-SA"/>
        </w:rPr>
        <w:t>坚定不移推动高质量发展——论学习贯彻习近平主席十四届全国人大一次会议重要讲话</w:t>
      </w:r>
    </w:p>
    <w:p>
      <w:pPr>
        <w:tabs>
          <w:tab w:val="right" w:leader="dot" w:pos="8296"/>
        </w:tabs>
        <w:spacing w:line="560" w:lineRule="exact"/>
        <w:rPr>
          <w:rFonts w:hint="default" w:ascii="仿宋" w:hAnsi="仿宋" w:eastAsia="仿宋" w:cs="仿宋"/>
          <w:bCs/>
          <w:snapToGrid w:val="0"/>
          <w:spacing w:val="-8"/>
          <w:sz w:val="36"/>
          <w:szCs w:val="36"/>
          <w:lang w:val="en-US" w:eastAsia="zh-CN"/>
        </w:rPr>
      </w:pPr>
      <w:r>
        <w:rPr>
          <w:rFonts w:hint="eastAsia" w:ascii="仿宋" w:hAnsi="仿宋" w:eastAsia="仿宋" w:cs="仿宋"/>
          <w:b w:val="0"/>
          <w:bCs/>
          <w:snapToGrid w:val="0"/>
          <w:spacing w:val="-8"/>
          <w:kern w:val="2"/>
          <w:sz w:val="36"/>
          <w:szCs w:val="36"/>
          <w:lang w:val="en-US" w:eastAsia="zh-CN" w:bidi="ar-SA"/>
        </w:rPr>
        <w:tab/>
      </w:r>
      <w:r>
        <w:rPr>
          <w:rFonts w:hint="eastAsia" w:ascii="仿宋" w:hAnsi="仿宋" w:eastAsia="仿宋" w:cs="仿宋"/>
          <w:b w:val="0"/>
          <w:bCs/>
          <w:snapToGrid w:val="0"/>
          <w:spacing w:val="-8"/>
          <w:kern w:val="2"/>
          <w:sz w:val="36"/>
          <w:szCs w:val="36"/>
          <w:lang w:val="en-US" w:eastAsia="zh-CN" w:bidi="ar-SA"/>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780" w:lineRule="atLeast"/>
        <w:ind w:left="0" w:right="0" w:firstLine="0"/>
        <w:jc w:val="left"/>
        <w:rPr>
          <w:rFonts w:hint="eastAsia" w:ascii="仿宋" w:hAnsi="仿宋" w:eastAsia="仿宋" w:cs="仿宋"/>
          <w:b w:val="0"/>
          <w:bCs/>
          <w:snapToGrid w:val="0"/>
          <w:spacing w:val="-8"/>
          <w:kern w:val="2"/>
          <w:sz w:val="32"/>
          <w:szCs w:val="32"/>
          <w:lang w:val="en-US" w:eastAsia="zh-CN" w:bidi="ar-SA"/>
        </w:rPr>
      </w:pPr>
      <w:r>
        <w:rPr>
          <w:rFonts w:hint="eastAsia" w:ascii="仿宋" w:hAnsi="仿宋" w:eastAsia="仿宋" w:cs="仿宋"/>
          <w:b w:val="0"/>
          <w:bCs/>
          <w:snapToGrid w:val="0"/>
          <w:spacing w:val="-8"/>
          <w:kern w:val="2"/>
          <w:sz w:val="36"/>
          <w:szCs w:val="36"/>
          <w:lang w:val="en-US" w:eastAsia="zh-CN" w:bidi="ar-SA"/>
        </w:rPr>
        <w:t>◆</w:t>
      </w:r>
      <w:r>
        <w:rPr>
          <w:rFonts w:hint="eastAsia" w:ascii="仿宋" w:hAnsi="仿宋" w:eastAsia="仿宋" w:cs="仿宋"/>
          <w:b w:val="0"/>
          <w:bCs/>
          <w:snapToGrid w:val="0"/>
          <w:spacing w:val="-8"/>
          <w:kern w:val="2"/>
          <w:sz w:val="32"/>
          <w:szCs w:val="32"/>
          <w:lang w:val="en-US" w:eastAsia="zh-CN" w:bidi="ar-SA"/>
        </w:rPr>
        <w:t>王晓晖在省级领导干部和市厅级主要负责同志学习贯彻党的二十大精神读书班上强调：推动党的二十大决策部署在四川具体化，奋力写好中国式现代化的四川篇章</w:t>
      </w:r>
    </w:p>
    <w:p>
      <w:pPr>
        <w:tabs>
          <w:tab w:val="right" w:leader="dot" w:pos="8296"/>
        </w:tabs>
        <w:spacing w:line="560" w:lineRule="exact"/>
        <w:rPr>
          <w:rFonts w:hint="default" w:ascii="仿宋" w:hAnsi="仿宋" w:eastAsia="仿宋" w:cs="仿宋"/>
          <w:bCs/>
          <w:snapToGrid w:val="0"/>
          <w:spacing w:val="-8"/>
          <w:sz w:val="36"/>
          <w:szCs w:val="36"/>
          <w:lang w:val="en-US" w:eastAsia="zh-CN"/>
        </w:rPr>
      </w:pPr>
      <w:r>
        <w:rPr>
          <w:rFonts w:hint="eastAsia" w:ascii="仿宋" w:hAnsi="仿宋" w:eastAsia="仿宋" w:cs="仿宋"/>
          <w:bCs/>
          <w:snapToGrid w:val="0"/>
          <w:spacing w:val="-8"/>
          <w:sz w:val="36"/>
          <w:szCs w:val="36"/>
        </w:rPr>
        <w:tab/>
      </w:r>
      <w:r>
        <w:rPr>
          <w:rFonts w:hint="default" w:ascii="仿宋" w:hAnsi="仿宋" w:eastAsia="仿宋" w:cs="仿宋"/>
          <w:bCs/>
          <w:snapToGrid w:val="0"/>
          <w:spacing w:val="-8"/>
          <w:sz w:val="36"/>
          <w:szCs w:val="36"/>
          <w:lang w:val="en-US"/>
        </w:rPr>
        <w:t>4</w:t>
      </w:r>
    </w:p>
    <w:p>
      <w:pPr>
        <w:tabs>
          <w:tab w:val="right" w:leader="dot" w:pos="8296"/>
        </w:tabs>
        <w:spacing w:line="560" w:lineRule="exact"/>
        <w:rPr>
          <w:rFonts w:hint="default" w:ascii="仿宋" w:hAnsi="仿宋" w:eastAsia="仿宋" w:cs="仿宋"/>
          <w:bCs/>
          <w:snapToGrid w:val="0"/>
          <w:spacing w:val="-8"/>
          <w:sz w:val="36"/>
          <w:szCs w:val="36"/>
          <w:lang w:val="en-US" w:eastAsia="zh-CN"/>
        </w:rPr>
      </w:pPr>
    </w:p>
    <w:p>
      <w:pPr>
        <w:jc w:val="center"/>
        <w:rPr>
          <w:rFonts w:hint="eastAsia" w:ascii="微软雅黑" w:hAnsi="微软雅黑" w:eastAsia="微软雅黑" w:cs="微软雅黑"/>
          <w:b/>
          <w:bCs/>
          <w:i w:val="0"/>
          <w:iCs w:val="0"/>
          <w:caps w:val="0"/>
          <w:color w:val="000000"/>
          <w:spacing w:val="0"/>
          <w:sz w:val="28"/>
          <w:szCs w:val="28"/>
          <w:shd w:val="clear" w:fill="FFFFFF"/>
        </w:rPr>
        <w:sectPr>
          <w:pgSz w:w="11906" w:h="16838"/>
          <w:pgMar w:top="1440" w:right="1800" w:bottom="1440" w:left="1800" w:header="851" w:footer="992" w:gutter="0"/>
          <w:pgNumType w:fmt="decimal" w:start="1"/>
          <w:cols w:space="425" w:num="1"/>
          <w:docGrid w:type="lines" w:linePitch="312" w:charSpace="0"/>
        </w:sectPr>
      </w:pPr>
    </w:p>
    <w:p>
      <w:pPr>
        <w:jc w:val="center"/>
        <w:rPr>
          <w:rFonts w:hint="eastAsia" w:ascii="微软雅黑" w:hAnsi="微软雅黑" w:eastAsia="微软雅黑" w:cs="微软雅黑"/>
          <w:b/>
          <w:bCs/>
          <w:i w:val="0"/>
          <w:iCs w:val="0"/>
          <w:caps w:val="0"/>
          <w:color w:val="000000"/>
          <w:spacing w:val="0"/>
          <w:sz w:val="28"/>
          <w:szCs w:val="28"/>
          <w:shd w:val="clear" w:fill="FFFFFF"/>
        </w:rPr>
      </w:pPr>
      <w:r>
        <w:rPr>
          <w:rFonts w:hint="eastAsia" w:ascii="微软雅黑" w:hAnsi="微软雅黑" w:eastAsia="微软雅黑" w:cs="微软雅黑"/>
          <w:b/>
          <w:bCs/>
          <w:i w:val="0"/>
          <w:iCs w:val="0"/>
          <w:caps w:val="0"/>
          <w:color w:val="000000"/>
          <w:spacing w:val="0"/>
          <w:sz w:val="28"/>
          <w:szCs w:val="28"/>
          <w:shd w:val="clear" w:fill="FFFFFF"/>
        </w:rPr>
        <w:t>人民日报评论员：坚定不移推动高质量发展——论学习贯彻</w:t>
      </w:r>
    </w:p>
    <w:p>
      <w:pPr>
        <w:jc w:val="center"/>
        <w:rPr>
          <w:rStyle w:val="11"/>
          <w:rFonts w:hint="eastAsia" w:ascii="宋体" w:hAnsi="宋体" w:eastAsia="宋体" w:cs="宋体"/>
          <w:spacing w:val="8"/>
          <w:sz w:val="28"/>
          <w:szCs w:val="28"/>
          <w:lang w:val="en-US" w:eastAsia="zh-CN"/>
        </w:rPr>
      </w:pPr>
      <w:r>
        <w:rPr>
          <w:rFonts w:hint="eastAsia" w:ascii="微软雅黑" w:hAnsi="微软雅黑" w:eastAsia="微软雅黑" w:cs="微软雅黑"/>
          <w:b/>
          <w:bCs/>
          <w:i w:val="0"/>
          <w:iCs w:val="0"/>
          <w:caps w:val="0"/>
          <w:color w:val="000000"/>
          <w:spacing w:val="0"/>
          <w:sz w:val="28"/>
          <w:szCs w:val="28"/>
          <w:shd w:val="clear" w:fill="FFFFFF"/>
        </w:rPr>
        <w:t>习近平主席十四届全国人大一次会议重要讲话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color w:val="auto"/>
          <w:sz w:val="28"/>
          <w:szCs w:val="28"/>
        </w:rPr>
      </w:pPr>
      <w:r>
        <w:rPr>
          <w:rFonts w:ascii="Arial" w:hAnsi="Arial" w:cs="Arial"/>
          <w:i w:val="0"/>
          <w:iCs w:val="0"/>
          <w:caps w:val="0"/>
          <w:color w:val="auto"/>
          <w:spacing w:val="0"/>
          <w:sz w:val="28"/>
          <w:szCs w:val="28"/>
          <w:bdr w:val="none" w:color="auto" w:sz="0" w:space="0"/>
          <w:shd w:val="clear" w:fill="FFFFFF"/>
        </w:rPr>
        <w:t>高质量发展关系我国社会主义现代化建设全局。在十四届全国人大一次会议上，习近平主席着眼全党全国人民的中心任务，强调“在强国建设、民族复兴的新征程，我们要坚定不移推动高质量发展”。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color w:val="auto"/>
          <w:sz w:val="28"/>
          <w:szCs w:val="28"/>
        </w:rPr>
      </w:pPr>
      <w:r>
        <w:rPr>
          <w:rFonts w:hint="default" w:ascii="Arial" w:hAnsi="Arial" w:cs="Arial"/>
          <w:i w:val="0"/>
          <w:iCs w:val="0"/>
          <w:caps w:val="0"/>
          <w:color w:val="auto"/>
          <w:spacing w:val="0"/>
          <w:sz w:val="28"/>
          <w:szCs w:val="28"/>
          <w:bdr w:val="none" w:color="auto" w:sz="0" w:space="0"/>
          <w:shd w:val="clear" w:fill="FFFFFF"/>
        </w:rPr>
        <w:t>新时代十年是我国经济社会发展取得历史性成就、发生历史性变革、转向高质量发展的十年。党的十八大以来，以习近平同志为核心的党中央科学把握我国发展大势，提出并贯彻新发展理念，着力推进高质量发展，推动构建新发展格局，实施供给侧结构性改革，引领我国经济迈上更高质量、更有效率、更加公平、更可持续、更为安全的发展之路。十年来，我国经济实力实现历史性跃升，对世界经济增长的贡献在全球居于首位，战略性新兴产业发展壮大，发展的平衡性协调性包容性持续提高，生态环境呈现明显改善和趋势性好转，共建“一带一路”走深走实，创新型国家建设取得重大进展。特别是历史性地解决了绝对贫困问题，如期全面建成小康社会，实现第一个百年奋斗目标，迈上全面建设社会主义现代化国家新征程。实践充分证明，推动高质量发展是遵循经济发展规律、保持经济持续健康发展的必然要求，是适应我国社会主要矛盾变化、解决发展不平衡不充分问题的必然要求，是有效防范化解各种重大风险挑战、以中国式现代化全面推进中华民族伟大复兴的必然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color w:val="auto"/>
          <w:sz w:val="28"/>
          <w:szCs w:val="28"/>
        </w:rPr>
      </w:pPr>
      <w:r>
        <w:rPr>
          <w:rFonts w:hint="default" w:ascii="Arial" w:hAnsi="Arial" w:cs="Arial"/>
          <w:i w:val="0"/>
          <w:iCs w:val="0"/>
          <w:caps w:val="0"/>
          <w:color w:val="auto"/>
          <w:spacing w:val="0"/>
          <w:sz w:val="28"/>
          <w:szCs w:val="28"/>
          <w:bdr w:val="none" w:color="auto" w:sz="0" w:space="0"/>
          <w:shd w:val="clear" w:fill="FFFFFF"/>
        </w:rPr>
        <w:t>习近平主席强调：“从现在起到本世纪中叶，全面建成社会主义现代化强国、全面推进中华民族伟大复兴，是全党全国人民的中心任务。”党的二十大报告提出：“高质量发展是全面建设社会主义现代化国家的首要任务。”当前，我国发展面临新的战略机遇、新的战略任务、新的战略阶段、新的战略要求、新的战略环境。必须深刻认识到，发展是党执政兴国的第一要务，没有坚实的物质技术基础，就不可能全面建成社会主义现代化强国。防范化解各类风险隐患，积极应对外部环境变化带来的冲击挑战，关键在于办好自己的事，提高发展质量，提高国际竞争力，增强国家综合实力和抵御风险能力。在强国建设、民族复兴的新征程，只有牢牢把握高质量发展这个首要任务，完整、准确、全面贯彻新发展理念，加快构建以国内大循环为主体、国内国际双循环相互促进的新发展格局，推动经济实现质的有效提升和量的合理增长，才能不断壮大我国经济实力、科技实力、综合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color w:val="auto"/>
          <w:sz w:val="28"/>
          <w:szCs w:val="28"/>
        </w:rPr>
      </w:pPr>
      <w:r>
        <w:rPr>
          <w:rFonts w:hint="default" w:ascii="Arial" w:hAnsi="Arial" w:cs="Arial"/>
          <w:i w:val="0"/>
          <w:iCs w:val="0"/>
          <w:caps w:val="0"/>
          <w:color w:val="auto"/>
          <w:spacing w:val="0"/>
          <w:sz w:val="28"/>
          <w:szCs w:val="28"/>
          <w:bdr w:val="none" w:color="auto" w:sz="0" w:space="0"/>
          <w:shd w:val="clear" w:fill="FFFFFF"/>
        </w:rPr>
        <w:t>高质量发展就是体现新发展理念的发展，实现高质量发展是中国式现代化的本质要求之一。坚定不移推动高质量发展，必须完整、准确、全面贯彻新发展理念，必须更好统筹质的有效提升和量的合理增长，必须坚定不移深化改革开放、深入转变发展方式，必须以满足人民日益增长的美好生活需要为出发点和落脚点。加快实现高水平科技自立自强是推动高质量发展的必由之路，要深入实施科教兴国战略、人才强国战略、创新驱动发展战略，着力提升科技自立自强能力，不断开辟发展新领域新赛道、塑造发展新动能新优势。加快构建新发展格局是推动高质量发展的战略基点，要把实施扩大内需战略同深化供给侧结构性改革有机结合起来，坚持把发展经济的着力点放在实体经济上，夯实我国经济发展的根基、增强发展的安全性稳定性，不断增强我国的生存力、竞争力、发展力、持续力。农业强国是社会主义现代化强国的根基，推进农业现代化是实现高质量发展的必然要求，要切实保障粮食和重要农产品稳定安全供给，把产业振兴作为乡村振兴的重中之重，提高农业质量效益和竞争力，加快建设宜居宜业和美乡村，以更加积极的作为确保全面推进乡村振兴落地见效。人民幸福安康是推动高质量发展的最终目的，要始终把最广大人民根本利益放在心上，坚持增进民生福祉，把高质量发展同满足人民美好生活需要紧密结合起来，把发展成果不断转化为生活品质，不断增强人民群众的获得感、幸福感、安全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560" w:firstLineChars="200"/>
        <w:textAlignment w:val="auto"/>
        <w:rPr>
          <w:color w:val="auto"/>
          <w:sz w:val="28"/>
          <w:szCs w:val="28"/>
        </w:rPr>
      </w:pPr>
      <w:r>
        <w:rPr>
          <w:rFonts w:hint="default" w:ascii="Arial" w:hAnsi="Arial" w:cs="Arial"/>
          <w:i w:val="0"/>
          <w:iCs w:val="0"/>
          <w:caps w:val="0"/>
          <w:color w:val="auto"/>
          <w:spacing w:val="0"/>
          <w:sz w:val="28"/>
          <w:szCs w:val="28"/>
          <w:bdr w:val="none" w:color="auto" w:sz="0" w:space="0"/>
          <w:shd w:val="clear" w:fill="FFFFFF"/>
        </w:rPr>
        <w:t>大道至简，实干为要。今年是全面贯彻落实党的二十大精神的开局之年，开局关乎全局，起步决定后程。让我们更加紧密地团结在以习近平同志为核心的党中央周围，全面贯彻习近平新时代中国特色社会主义思想，坚持以推动高质量发展为主题，增强国内大循环内生动力和可靠性，提升国际循环质量和水平，加快建设现代化经济体系，着力提高全要素生产率，着力提升产业链供应链韧性和安全水平，着力推进城乡融合和区域协调发展，真抓实干、求真务实，以高质量发展的新成效为全面建设社会主义现代化国家开好局起好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textAlignment w:val="auto"/>
        <w:rPr>
          <w:rFonts w:hint="eastAsia" w:ascii="仿宋" w:hAnsi="仿宋" w:eastAsia="仿宋" w:cs="仿宋"/>
          <w:sz w:val="28"/>
          <w:szCs w:val="28"/>
          <w:shd w:val="clear" w:color="auto"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textAlignment w:val="auto"/>
        <w:rPr>
          <w:rFonts w:hint="eastAsia" w:ascii="仿宋" w:hAnsi="仿宋" w:eastAsia="仿宋" w:cs="仿宋"/>
          <w:sz w:val="28"/>
          <w:szCs w:val="28"/>
          <w:shd w:val="clear" w:color="auto"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textAlignment w:val="auto"/>
        <w:rPr>
          <w:rFonts w:hint="eastAsia" w:ascii="仿宋" w:hAnsi="仿宋" w:eastAsia="仿宋" w:cs="仿宋"/>
          <w:sz w:val="28"/>
          <w:szCs w:val="28"/>
          <w:shd w:val="clear" w:color="auto"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1"/>
          <w:rFonts w:ascii="微软雅黑" w:hAnsi="微软雅黑" w:eastAsia="微软雅黑" w:cs="微软雅黑"/>
          <w:i w:val="0"/>
          <w:caps w:val="0"/>
          <w:color w:val="auto"/>
          <w:spacing w:val="0"/>
          <w:sz w:val="28"/>
          <w:szCs w:val="28"/>
          <w:shd w:val="clear" w:fill="FFFFFF"/>
        </w:rPr>
      </w:pPr>
      <w:r>
        <w:rPr>
          <w:rStyle w:val="11"/>
          <w:rFonts w:ascii="微软雅黑" w:hAnsi="微软雅黑" w:eastAsia="微软雅黑" w:cs="微软雅黑"/>
          <w:i w:val="0"/>
          <w:caps w:val="0"/>
          <w:color w:val="auto"/>
          <w:spacing w:val="0"/>
          <w:sz w:val="28"/>
          <w:szCs w:val="28"/>
          <w:shd w:val="clear" w:fill="FFFFFF"/>
        </w:rPr>
        <w:t>王晓晖在省级领导干部和市厅级主要负责同志学习贯彻党的二十大精神读书班上强调：推动党的二十大决策部署在四川具体化，奋力写好中国式现代化的四川篇章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11"/>
          <w:rFonts w:ascii="微软雅黑" w:hAnsi="微软雅黑" w:eastAsia="微软雅黑" w:cs="微软雅黑"/>
          <w:i w:val="0"/>
          <w:caps w:val="0"/>
          <w:color w:val="1F497D"/>
          <w:spacing w:val="0"/>
          <w:sz w:val="28"/>
          <w:szCs w:val="28"/>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1月31日至2月4日，省级领导干部和市厅级主要负责同志学习贯彻党的二十大精神读书班在成都举行，省委书记王晓晖在开班式上作主题报告，并在结业式上作结业讲话。他强调，要坚定以习近平新时代中国特色社会主义思想和习近平总书记对四川工作系列重要指示精神为指导，深刻领悟“两个确立”的决定性意义，更加自觉地做到“两个维护”，推动党的二十大决策部署在四川具体化，深入实施“四化同步、城乡融合、五区共兴”战略部署，奋力写好中国式现代化的四川篇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省委副书记、省长黄强主持开班式和结业式，省政协主席田向利出席。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center"/>
        <w:textAlignment w:val="auto"/>
        <w:rPr>
          <w:rFonts w:hint="eastAsia" w:ascii="宋体" w:hAnsi="宋体" w:eastAsia="宋体" w:cs="宋体"/>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在主题报告中首先对党的二十大精神进行了梳理和领学。他指出，党的二十大精神思想深邃、博大精深，必须反复研读、深入思考、全面把握、吃透核心要义。学深悟透党的二十大精神，要着重把握好党的二十大的主题，把握好过去5年的工作和新时代10年的伟大变革，把握好开辟马克思主义中国化时代化新境界的深刻论述，把握好中国式现代化的丰富内涵，把握好党和国家事业发展的重大部署，把握好坚持党的全面领导和全面从严治党的重大部署，在持续学懂弄通做实上下功夫。领导干部要全面学习、全面把握、全面落实，示范带动广大党员干部学深悟透笃行，做到知行合一、学以致用。全面学习就是要读原文、悟原理，原原本本学习党的二十大报告和党章，学习习近平总书记在党的二十届一中全会上的重要讲话精神，与学习习近平总书记对四川工作系列重要指示精神结合起来，并联系新时代10年伟大变革和四川发展进步，不断加深认识理解。全面把握就是要对党的二十大精神进行反复揣摩，既领会党的二十大在政治上的高瞻远瞩和理论上的深邃思考，又把握其目标上部署上的科学设定和工作上的战略安排，从中找方向、找方法、找思路、找遵循，并贯穿和运用到想问题、作决策、办事情的全过程。全面落实就是要牢固树立一盘棋思想，谋划和推动本地本部门工作都以贯彻党中央决策部署为前提，对标党的二十大确立的目标任务和重大举措，围绕省委十二届二次全会确立的总牵引、总抓手、总思路，紧扣实际拿出细化落实的具体方案，一步一个脚印推动党中央和省委决策部署在本地本部门落到实处、终端见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随后，王晓晖围绕推动党的二十大决策部署在四川具体化、奋力写好中国式现代化的四川篇章、强化四川现代化建设的组织领导和支撑保障进行深入阐述。他指出，以中国式现代化全面推进中华民族伟大复兴，是党的二十大作出的重大抉择。站在更高起点谋划未来发展，在新的征程上谱写四川发展新篇章，是习近平总书记对四川工作提出的重要要求。如何写好中国式现代化的四川篇章，是我们必须回答的重大时代课题。省委十二届二次全会深入贯彻党的二十大精神，在全面分析我省发展实际的基础上，明确提出以“四化同步、城乡融合、五区共兴”统揽四川现代化建设全局，这是贯彻中央精神、立足省情特征、着眼长远发展作出的重大战略部署，是贯彻新发展理念、积极融入和服务新发展格局、推动高质量发展的实际行动。我们要不断加深理解、深化认识，切实增强贯彻落实的自觉性和坚定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指出，推动“四化同步”发展，要坚持把新型工业化作为主引擎，坚持工业兴省，大力实施制造强省战略，聚焦优势突出、成长性好的重点领域，把产业布局和区域布局统筹起来，集中资源、精准发力，全力实施电子信息、装备制造、食品轻纺、能源化工、先进材料、医药健康六大优势产业提质倍增计划，培育更多的千亿企业、万亿集群，让工业真正扛起大旗、挑起大梁；扎实推动工业与服务业联动发展，强化服务业功能，形成“四川制造”与“四川服务”相得益彰效应。要推动新型工业化与信息化深度融合，以“5G+工业互联网”推动传统制造装备联网、关键工序数控化，全面加强现代信息基础能力，为四川工业腾飞插上信息化翅膀；建好用好国字号科技创新平台和国省实验室体系，以揭榜挂帅等方式开展研究创新，让更多的创新成果从纸上到地上、从实验室走向生产线。要推动新型工业化与城镇化良性互动，处理好人、产、城之间的关系，把人本理念作为城市规划的起点，以充满活力的产业集聚人才、以高效优质的治理服务人才；把产业园区作为城镇空间拓展区和经济发展增长点，以城镇综合承载能力的增强支撑产业发展，以产业的增长提升城镇就业吸附能力；推进城市更新行动，增强城镇功能和产业能级。要推动新型工业化与农业现代化相互协调，坚持工业反哺农业，大力推动农业生产供应链、精深加工链、品牌价值链“三链同构”，支持农产品加工业集群式发展，推动生猪等畜禽规模化标准化养殖，保障粮食等重要农产品有效供给，进一步提升农业集约化、标准化、组织化和市场化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指出，推动“城乡融合”发展，要努力破除城乡二元结构的体制障碍，形成新型工农、城乡关系，让进城的进得放心，留在农村的留得安心。要以改革办法打通城乡要素流动障碍，聚焦农村产权制度、户籍制度等重点领域，多从群众急难愁盼的问题入手加大改革力度，以实践创新引领改革创新，努力形成各具特色的城乡融合发展改革路径。要持续推动城乡基本公共服务均等化，加快推动市政基础设施和基本公共服务向农村下沉、向农民倾斜，推动关键设施城乡同质同标，积极促进基本公共服务同轨同享。要全面推进乡村建设迈出坚实步伐，突出乡土特征、文化特质、地域特点，注意发挥农民主体作用，统筹推动农村产业发展、乡村治理、环境保护、精神文明建设等重点工作。要发挥县域联动城乡经济的重要作用，分类引导大城市周边县城加快发展、专业功能县城差异化发展、农产品主产区县城合理发展、重点生态功能区县城有序发展、人口流失县城转型发展，加快把县域打造成为城乡融合发展的桥头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指出，推动“五区共兴”发展，要以成渝地区双城经济圈建设为总牵引，立足各地资源禀赋和经济基础，因地制宜推动领先发展、特色发展、携手发展。优势地区要领先发展，成都要加快建设践行新发展理念的公园城市示范区，持续提升核心功能和辐射带动作用，加快推动成德眉资同城化进程；支持区域中心城市壮大产业规模、提升城市能级，争取形成经济规模较大的中等经济体；推动国省新区和各类高新区、经开区加快发展，形成更多新的经济增长点。五大片区要坚持特色发展，成都平原经济区要聚焦全域一体化目标，全面提升区域发展能级；川南经济区要主动承担四川南向开放门户枢纽作用，打造全省经济增长第二极；川东北经济区要用好红色、绿色、特色三大资源，加快打造川陕革命老区振兴发展示范区和绿色产业示范基地；攀西经济区要擦亮国家战略资源创新开发试验区这块金字招牌，加快推动安宁河流域高质量发展；川西北生态示范区要把保护修复生态环境摆在优先位置，努力走在全国民族团结进步示范州前列。先发和后发地区要携手发展，建立省内先发地区、部门、企业与欠发达地区结对共富机制，“一县一策”“一区一策”制定差别化政策，把更多资源力量精准投放到欠发达地区和丘陵地区，在新一轮发展中弯道超车、迎头赶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指出，贯彻落实党的二十大精神、写好中国式现代化的四川篇章，是一项涉及各个领域、各个层面的系统工程，必须坚持和加强党的全面领导，筑牢政策支撑，强化系统观念，坚持守正创新，弘扬清风正气，最大限度调动各方面积极性主动性创造性，确保力量和资源向现代化建设这个中心大局聚焦，共同把宏伟蓝图变为美好现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在结业讲话中指出，写好中国式现代化的四川篇章，是全省上下共同的历史使命，也是必须担负的重大政治责任。各地各部门要紧扣实际找准工作的切入点和着力点，明确工作重点、主攻方向、实施路径，弹好“同步”之调，做足“融合”之功，唱响“共兴”之歌，推动新时代新征程四川现代化建设开好局起好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王晓晖强调，今年是开局起步之年，做好今年工作尤为重要。开年以来特别是春节期间我省经济迎来强劲复苏势头，不断向好的发展指标，折射出我省经济发展的活力与潜力。我们必须把握机遇、乘势而上、踔厉奋发，加力加劲推动经济稳步回升，实现经济运行整体好转。推动经济稳步回升，我们有这个信心决心。这个信心源于我省经济发展的厚实基础、源于我省发展面临的重大机遇、源于当前发展呈现的良好势头。推动经济稳步回升，我们必须紧盯重大部署狠抓落实。要紧盯消费抓恢复提振，紧盯项目抓投资促进，紧盯外贸抓增量提质，紧盯市场主体抓营商环境，紧盯农业抓稳产保供，紧盯安全抓风险防范，不断巩固好当前经济复苏的良好势头，努力在加快奔跑中抢占先机。推动经济稳步回升，需要我们以拼的精神、闯的劲头苦干实干。开局关乎全局、起步决定后程，时间不等人、机遇不等人、发展不等人，一步慢则步步慢，快一步就胜一筹。各地各部门要把这次读书班的学习成果转化为抓发展的实际成效，拿出“开年就开跑”、“起步即冲刺”的劲头，全力以赴拼经济、搞建设、推动高质量发展，确保实现一季度“开门红”，确保完成全年目标任务，为国家发展大局多作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读书班期间，开展了分组学习研讨，邀请中央党校专家作专题辅导；省委常委同志分别作主题发言，结合分管领域谈体会和工作打算。结业式上，各组就学习讨论情况作汇报发言。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FFFFF"/>
          <w:lang w:val="en-US" w:eastAsia="zh-CN" w:bidi="ar"/>
        </w:rPr>
        <w:t>省委、省人大常委会、省政府、省政协领导，省法院院长、省检察院检察长，各市（州）党委政府、省直各部门（单位）和省属科研单位、高等学校、国有企业主要负责同志等参加读书班。</w:t>
      </w:r>
    </w:p>
    <w:p>
      <w:pPr>
        <w:rPr>
          <w:sz w:val="28"/>
          <w:szCs w:val="28"/>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仿宋" w:hAnsi="仿宋" w:eastAsia="仿宋" w:cs="仿宋"/>
          <w:sz w:val="28"/>
          <w:szCs w:val="28"/>
          <w:shd w:val="clear" w:color="auto" w:fill="FFFFFF"/>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7o2izPAQAAmwMAAA4AAABkcnMvZTJvRG9jLnhtbK1TzYrbMBC+F/oO&#10;QvfGTqA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QJnDlh6cEvP75ffv6+/PrG&#10;3iZ7+oAVnXoMDzBlSGHSOrRg05dUsCFber5aqobIJG0u16v1uiS3JdXmhHCKp+sBMN4pb1kKag70&#10;ZtlKcfqAcTw6H0ndjEur87famLGadopEcySWojjsh4nt3jdnkkgTT+Cdh6+c9fTeNXc03pyZe0d2&#10;ptGYA5iD/RwIJ+lizSNnxwD60OUxSjQwvD9GopJ5psZjt4kPvVlWOs1XGoq/83zq6Z/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3ujaLM8BAACbAwAADgAAAAAAAAABACAAAAAfAQAAZHJz&#10;L2Uyb0RvYy54bWxQSwUGAAAAAAYABgBZAQAAY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MmUzNWI4OWZmZWU1NjBmYzM3ZjIxZjYwNTYwOGEifQ=="/>
    <w:docVar w:name="KSO_WPS_MARK_KEY" w:val="ed1ced89-3d1f-462b-bd47-a39d3efdf9ad"/>
  </w:docVars>
  <w:rsids>
    <w:rsidRoot w:val="00000000"/>
    <w:rsid w:val="026D0008"/>
    <w:rsid w:val="0B177372"/>
    <w:rsid w:val="65112AD9"/>
    <w:rsid w:val="67ED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FollowedHyperlink"/>
    <w:basedOn w:val="10"/>
    <w:qFormat/>
    <w:uiPriority w:val="0"/>
    <w:rPr>
      <w:color w:val="005C81"/>
      <w:u w:val="none"/>
    </w:rPr>
  </w:style>
  <w:style w:type="character" w:styleId="13">
    <w:name w:val="Emphasis"/>
    <w:basedOn w:val="10"/>
    <w:qFormat/>
    <w:uiPriority w:val="0"/>
  </w:style>
  <w:style w:type="character" w:styleId="14">
    <w:name w:val="Hyperlink"/>
    <w:basedOn w:val="10"/>
    <w:qFormat/>
    <w:uiPriority w:val="99"/>
    <w:rPr>
      <w:color w:val="0563C1"/>
      <w:u w:val="single"/>
    </w:rPr>
  </w:style>
  <w:style w:type="character" w:customStyle="1" w:styleId="15">
    <w:name w:val="标题 1 字符"/>
    <w:basedOn w:val="10"/>
    <w:link w:val="2"/>
    <w:qFormat/>
    <w:uiPriority w:val="0"/>
    <w:rPr>
      <w:rFonts w:ascii="Calibri" w:hAnsi="Calibri" w:eastAsia="宋体" w:cs="宋体"/>
      <w:b/>
      <w:bCs/>
      <w:kern w:val="44"/>
      <w:sz w:val="44"/>
      <w:szCs w:val="44"/>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BA4DE-7F73-40B1-ADD8-A1C074E599E1}">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21254</Words>
  <Characters>21690</Characters>
  <Paragraphs>135</Paragraphs>
  <TotalTime>2</TotalTime>
  <ScaleCrop>false</ScaleCrop>
  <LinksUpToDate>false</LinksUpToDate>
  <CharactersWithSpaces>21696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DHQ</dc:creator>
  <cp:lastModifiedBy>邱政</cp:lastModifiedBy>
  <cp:lastPrinted>2022-09-02T06:16:00Z</cp:lastPrinted>
  <dcterms:modified xsi:type="dcterms:W3CDTF">2023-04-07T09:29:53Z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A934D8DDF0A042A59C0B5220CB94575E</vt:lpwstr>
  </property>
</Properties>
</file>